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162</w:t>
      </w:r>
    </w:p>
    <w:p>
      <w:r>
        <w:t>Bundesgericht (BGE), 1974-08-29, DE</w:t>
      </w:r>
    </w:p>
    <w:p>
      <w:r>
        <w:rPr>
          <w:b/>
        </w:rPr>
        <w:t xml:space="preserve">Quelle: </w:t>
      </w:r>
      <w:r>
        <w:t>https://mcp.opencaselaw.ch/entscheid/bge_100 V 162</w:t>
      </w:r>
    </w:p>
    <w:p>
      <w:r>
        <w:t>FR: ATF 100 V 162</w:t>
      </w:r>
    </w:p>
    <w:p>
      <w:r>
        <w:t>IT: DTF 100 V 162</w:t>
      </w:r>
    </w:p>
    <w:p>
      <w:pPr>
        <w:pStyle w:val="Heading2"/>
      </w:pPr>
      <w:r>
        <w:t>Regeste</w:t>
      </w:r>
    </w:p>
    <w:p>
      <w:r>
        <w:t>Regeste Rückforderung einer irrtümlich ausgerichteten Rente (Art. 47 Abs. 1 AHVG). Der Grundsatz des Vertrauensschutzes tritt gegenüber einer zwingend und unmittelbar aus dem Gesetz sich ergebenden Sonderregelung zurück (Erw. 4). Einjährige Verjährungsfrist des Art. 47 Abs. 2 AHVG. Auslegung des gesetzlichen Ausdrucks "Kenntnis erhalten" (Erw. 3).</w:t>
      </w:r>
    </w:p>
    <w:p>
      <w:pPr>
        <w:pStyle w:val="Heading2"/>
      </w:pPr>
      <w:r>
        <w:t>Erwägungen</w:t>
      </w:r>
    </w:p>
    <w:p>
      <w:r>
        <w:rPr>
          <w:b/>
        </w:rPr>
        <w:t>E. 2</w:t>
      </w:r>
    </w:p>
    <w:p>
      <w:r>
        <w:t>Es ist unbestritten, dass der Beschwerdeführerin zu Unrecht eine Witwenrente ausgerichtet worden ist. Zu beurteilen ist einzig, ob und gegebenenfalls in welchem Umfange sie hierfür rückerstattungspflichtig sei. Mit der Verfügung vom 24. Mai 1972 erhob die Ausgleichskasse eine Rückforderung im Betrage von Fr. 15 314.-- entsprechend den in der Zeit von März 1967 bis Februar 1972 erfolgten Rentenzahlungen. Da der Rückforderungsanspruch nach Art. 47 Abs. 2 AHVG spätestens mit Ablauf von 5 Jah ren seit der einzelnen Rentenzahlung verjährt, hätten die Rentenbetreffnisse der Monate März bis Mai 1967 nicht zurückgefordert werden dürfen. Obgleich die Ausgleichskasse einen BGE 100 V 162 S. 163 entsprechenden Antrag auf teilweise Gutheissung der Beschwerde gestellt hatte, blieb dieser Punkt im vorinstanzlichen Entscheid unberücksichtigt. Insoweit ist die Verwaltungsgerichtsbeschwerde daher gutzuheissen.</w:t>
      </w:r>
    </w:p>
    <w:p>
      <w:r>
        <w:rPr>
          <w:b/>
        </w:rPr>
        <w:t>E. 3</w:t>
      </w:r>
    </w:p>
    <w:p>
      <w:r>
        <w:t>Für die Rückforderung der ab Juni 1967 bezogenen Renten ist entscheidend, ob die Ausgleichskasse berechtigt war, den Beginn der einjährigen Frist auf den Zeitpunkt zu beziehen, in welchem sie sich ihres Irrtums bewusst wurde, obgleich der massgebende Sachverhalt unbestrittenermassen bereits anlässlich der Rentenverfügung aktenkundig war. Art. 47 Abs. 2 AHVG bestimmt, dass der Rückforderungsanspruch (im Rahmen der absoluten fünfjährigen Frist) verjährt "mit dem Ablauf eines Jahres, nachdem die Ausgleichskasse davon Kenntnis erhalten hat". Wie das Eidg. Versicherungsgericht in EVGE 1954 S. 26ff. ausgeführt hat, ist unter dem gesetzlichen Ausdruck "Kenntnis erhalten" das "Sichbewusstwerden" des Irrtums zu verstehen. Die einjährige (relative) Verjährungsfrist beginnt demnach im Zeitpunkt zu laufen, in welchem sich die Verwaltung von der irrtümlichen Leistung Rechenschaft gibt, und nicht schon dann, wenn sie objektiv davon hätte Kenntnis haben können bzw. hätte Kenntnis haben müssen. Andernfalls würde es der Verwaltung - insbesondere im Falle von Rechnungsfehlern, bei welchen das "Kenntnis haben müssen" regelmässig zu bejahen wäre - praktisch verunmöglicht, unrechtmässig bezogene Leistungen nach Ablauf eines Jahres seit Verfügungserlass zurückzufordern.</w:t>
      </w:r>
    </w:p>
    <w:p>
      <w:r>
        <w:rPr>
          <w:b/>
        </w:rPr>
        <w:t>E. 4</w:t>
      </w:r>
    </w:p>
    <w:p>
      <w:r>
        <w:t>... Die Beschwerdeführerin macht geltend, die Fehlerhaftigkeit der seinerzeitigen Rentenverfügung beruhe ausschliesslich auf grober Fahrlässigkeit der Ausgleichskasse; eine Gutheissung des Rückforderungsanspruchs käme daher einem nicht zu rechtfertigenden Verstoss gegen Treu und Glauben gleich. Es besteht kein Zweifel, dass die Beschwerdeführerin die zu Unrecht ausgerichteten Rentenleistungen in gutem Glauben auf die Richtigkeit der Verfügung bezogen und zur Bestreitung des Lebensunterhaltes verwendet hat. Ebenso eindeutig ist, dass die unzutreffende Verfügung vom 17. März 1967 ausschliesslich auf ein Versehen der Ausgleichskasse zurückzuführen ist. Ob sich die Beschwerdeführerin unter diesen Umständen auf die von der Praxis entwickelten Grundsätze BGE 100 V 162 S. 164 über den Vertrauensschutz berufen kann, muss indessen unter Berücksichtigung der besondern Bestimmungen des AHVG beurteilt werden. Mit der Vorschrift von Art. 47 AHVG und den zugehörigen Verordnungsbestimmungen ( Art. 78 ff. AHVV ) hat der Gesetzgeber die rechtlichen Folgen einer unrechtmässigen Ausrichtung von Versicherungsleistungen ausdrücklich geregelt. Insbesondere hat er auch die Möglichkeit eines Erlasses der Rückerstattungspflicht vorgesehen und damit dem Umstand Rechnung getragen, dass der Versicherte die Leistungen gutgläubig bezogen haben kann. Darüber hinaus wurde dem Prinzip der Rechtmässigkeit des Verwaltungshandelns der Vorrang gegeben gegenüber dem Schutz des guten Glaubens desjenigen, der unrechtmässig Versicherungsleistungen bezogen hat. Insofern tritt das Vertrauensprinzip als allgemeiner Rechtsgrundsatz gegenüber der unmittelbar und zwingend aus dem Gesetz sich ergebenden Sonderregelung zurück. Es besteht somit grundsätzlich kein Raum zu einer über den in Art. 47 AHVG umschriebenen Schutz des guten Glaubens hinausgehenden Berücksichtigung des Grundsatzes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